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after="120" w:afterLines="50" w:line="560" w:lineRule="exact"/>
        <w:jc w:val="center"/>
        <w:rPr>
          <w:b w:val="0"/>
          <w:color w:val="auto"/>
          <w:szCs w:val="44"/>
          <w:highlight w:val="none"/>
          <w:lang w:val="zh-CN"/>
        </w:rPr>
      </w:pPr>
      <w:bookmarkStart w:id="0" w:name="_Toc128151025"/>
      <w:bookmarkStart w:id="1" w:name="_Toc29228"/>
      <w:bookmarkStart w:id="2" w:name="_Toc130657990"/>
      <w:bookmarkStart w:id="3" w:name="_Toc128397968"/>
      <w:bookmarkStart w:id="4" w:name="_Toc128150132"/>
      <w:bookmarkStart w:id="5" w:name="_Toc12397"/>
      <w:bookmarkStart w:id="6" w:name="_Toc8647"/>
      <w:bookmarkStart w:id="7" w:name="_Toc130886997"/>
      <w:bookmarkStart w:id="8" w:name="_Toc132190632"/>
      <w:bookmarkStart w:id="9" w:name="_Toc130887498"/>
      <w:bookmarkStart w:id="10" w:name="_Toc127820562"/>
      <w:bookmarkStart w:id="11" w:name="_Toc5855"/>
      <w:bookmarkStart w:id="12" w:name="_Toc130657536"/>
      <w:bookmarkStart w:id="13" w:name="_Toc112317781"/>
      <w:bookmarkStart w:id="14" w:name="_Toc128150776"/>
      <w:bookmarkStart w:id="15" w:name="第二部分"/>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tbl>
      <w:tblPr>
        <w:tblStyle w:val="42"/>
        <w:tblW w:w="9400" w:type="dxa"/>
        <w:tblInd w:w="0" w:type="dxa"/>
        <w:tblLayout w:type="fixed"/>
        <w:tblCellMar>
          <w:top w:w="0" w:type="dxa"/>
          <w:left w:w="108" w:type="dxa"/>
          <w:bottom w:w="0" w:type="dxa"/>
          <w:right w:w="108" w:type="dxa"/>
        </w:tblCellMar>
      </w:tblPr>
      <w:tblGrid>
        <w:gridCol w:w="700"/>
        <w:gridCol w:w="1284"/>
        <w:gridCol w:w="6441"/>
        <w:gridCol w:w="975"/>
      </w:tblGrid>
      <w:tr>
        <w:tblPrEx>
          <w:tblLayout w:type="fixed"/>
          <w:tblCellMar>
            <w:top w:w="0" w:type="dxa"/>
            <w:left w:w="108" w:type="dxa"/>
            <w:bottom w:w="0" w:type="dxa"/>
            <w:right w:w="108" w:type="dxa"/>
          </w:tblCellMar>
        </w:tblPrEx>
        <w:trPr>
          <w:trHeight w:val="606" w:hRule="atLeast"/>
        </w:trPr>
        <w:tc>
          <w:tcPr>
            <w:tcW w:w="940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4"/>
              </w:rPr>
            </w:pPr>
            <w:r>
              <w:rPr>
                <w:rFonts w:hint="eastAsia" w:ascii="黑体" w:hAnsi="宋体" w:eastAsia="黑体" w:cs="黑体"/>
                <w:color w:val="000000"/>
              </w:rPr>
              <w:t>技术要求</w:t>
            </w:r>
          </w:p>
        </w:tc>
      </w:tr>
      <w:tr>
        <w:tblPrEx>
          <w:tblLayout w:type="fixed"/>
          <w:tblCellMar>
            <w:top w:w="0" w:type="dxa"/>
            <w:left w:w="108" w:type="dxa"/>
            <w:bottom w:w="0" w:type="dxa"/>
            <w:right w:w="108" w:type="dxa"/>
          </w:tblCellMar>
        </w:tblPrEx>
        <w:trPr>
          <w:trHeight w:val="647" w:hRule="atLeast"/>
        </w:trPr>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rPr>
            </w:pPr>
            <w:r>
              <w:rPr>
                <w:rFonts w:hint="eastAsia" w:ascii="黑体" w:hAnsi="黑体" w:eastAsia="黑体" w:cs="宋体"/>
                <w:kern w:val="0"/>
                <w:sz w:val="24"/>
              </w:rPr>
              <w:t>序号</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技术和性能参数名称</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招标参数和性能要求</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宋体"/>
                <w:kern w:val="0"/>
                <w:sz w:val="24"/>
              </w:rPr>
            </w:pPr>
            <w:r>
              <w:rPr>
                <w:rFonts w:hint="eastAsia" w:ascii="黑体" w:hAnsi="黑体" w:eastAsia="黑体" w:cs="宋体"/>
                <w:kern w:val="0"/>
                <w:sz w:val="24"/>
              </w:rPr>
              <w:t>备注</w:t>
            </w:r>
          </w:p>
        </w:tc>
      </w:tr>
      <w:tr>
        <w:tblPrEx>
          <w:tblLayout w:type="fixed"/>
          <w:tblCellMar>
            <w:top w:w="0" w:type="dxa"/>
            <w:left w:w="108" w:type="dxa"/>
            <w:bottom w:w="0" w:type="dxa"/>
            <w:right w:w="108" w:type="dxa"/>
          </w:tblCellMar>
        </w:tblPrEx>
        <w:trPr>
          <w:trHeight w:val="1145"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基本要求</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1.采购防火墙5台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2.采购入侵防御设</w:t>
            </w:r>
            <w:bookmarkStart w:id="16" w:name="_GoBack"/>
            <w:bookmarkEnd w:id="16"/>
            <w:r>
              <w:rPr>
                <w:rFonts w:hint="eastAsia" w:ascii="宋体" w:hAnsi="宋体" w:eastAsia="宋体" w:cs="宋体"/>
                <w:i w:val="0"/>
                <w:iCs w:val="0"/>
                <w:color w:val="000000"/>
                <w:kern w:val="0"/>
                <w:sz w:val="24"/>
                <w:szCs w:val="24"/>
                <w:u w:val="none"/>
                <w:lang w:val="en-US" w:eastAsia="zh-CN" w:bidi="ar"/>
              </w:rPr>
              <w:t>备1台</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3.采购入侵检测设备1台</w:t>
            </w:r>
          </w:p>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4.采购日志分析设备1台</w:t>
            </w:r>
          </w:p>
        </w:tc>
        <w:tc>
          <w:tcPr>
            <w:tcW w:w="9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黑体" w:hAnsi="黑体" w:eastAsia="黑体" w:cs="宋体"/>
                <w:kern w:val="0"/>
                <w:sz w:val="24"/>
              </w:rPr>
            </w:pPr>
            <w:r>
              <w:rPr>
                <w:rFonts w:hint="eastAsia" w:ascii="宋体" w:hAnsi="宋体" w:eastAsia="宋体" w:cs="宋体"/>
                <w:i w:val="0"/>
                <w:iCs w:val="0"/>
                <w:color w:val="000000"/>
                <w:kern w:val="0"/>
                <w:sz w:val="21"/>
                <w:szCs w:val="21"/>
                <w:u w:val="none"/>
                <w:lang w:val="en-US" w:eastAsia="zh-CN" w:bidi="ar"/>
              </w:rPr>
              <w:t>不接受负偏离</w:t>
            </w:r>
            <w:r>
              <w:rPr>
                <w:rFonts w:hint="eastAsia" w:ascii="宋体" w:hAnsi="宋体" w:eastAsia="宋体" w:cs="宋体"/>
                <w:i w:val="0"/>
                <w:iCs w:val="0"/>
                <w:color w:val="000000"/>
                <w:kern w:val="0"/>
                <w:sz w:val="24"/>
                <w:szCs w:val="24"/>
                <w:u w:val="none"/>
                <w:lang w:val="en-US" w:eastAsia="zh-CN" w:bidi="ar"/>
              </w:rPr>
              <w:t>　</w:t>
            </w:r>
          </w:p>
        </w:tc>
      </w:tr>
      <w:tr>
        <w:tblPrEx>
          <w:tblLayout w:type="fixed"/>
          <w:tblCellMar>
            <w:top w:w="0" w:type="dxa"/>
            <w:left w:w="108" w:type="dxa"/>
            <w:bottom w:w="0" w:type="dxa"/>
            <w:right w:w="108" w:type="dxa"/>
          </w:tblCellMar>
        </w:tblPrEx>
        <w:trPr>
          <w:trHeight w:val="575"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.1</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技术力量</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一、投标产品应具有以下证书：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1.要求所投产品具备计算机信息系统安全专用产品销售许可证，提供有效证书复印件并加盖公章。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•2.防火墙要求所投产品具备IT产品信息安全认证证书EAL4增强级，提供有效证书复印件并加盖公章。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3.防火墙要求所投产品具备由中国信息安全测评中心颁发的国家信息安全漏洞库CNNVD兼容性资质证书，提供有效证书复印件并加盖公章。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4.入侵检测和入侵防御产品应具备计算机信息系统安全专用产品销售许可证，提供有效证书复印件并加盖公章。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•5.入侵检测和入侵防御产品应具备信息安全产品认证证书，提供有效证书复印件并加盖公章。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•6.日志审计具有中国国家信息安全产品认证证书（增强级），提供有效证书复印件并加盖公章。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二、投标方人员力量：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为保证本项目的服务质量，需为本项目配备1名项目经理，2名实施工程师。投标方所有项目人员需具备本公司近半年的社保证明。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1.项目经理应掌握项目管理体系知识及经验，需具备项目管理体系知识认证PMP证书；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•2.项目经理应拥有良好的沟通能力，具备培训讲师或咨询师经历，具备CISP信息安全专业人员认证。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3.实施工程师需具备CISP注册信息安全专业人员认证。</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15"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2.1防火墙产品功能及要求</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1.产品支持路由模式、透明模式、虚拟网线模式、旁路镜像模式等多种部署方式。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•2.支持对二层协议进行访问控制。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3.支持BGP、RIP、OSPF等动态路由协议。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4.支持NAT穿透技术ALG，支持FTP、TFTP、SQLNET、PPTP、RTSP、SIP、H.323等协议。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产品支持IPSec VPN智能选路功能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产品支持应用管控功能和多维度流量控制功能，支持基于IP地址、用户、应用、时间设置流量控制策略。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产品支持对压缩病毒文件进行检测和拦截，压缩层数支持12层及以上。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产品支持对HTTP、FTP、POP3、SMTP等协议进行病毒防御。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支持与入侵检测设备连动，根据入侵检测设备传送的连动信息，防火墙自动生成拦截策略进行拦截</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支持网页浏览、论坛发帖、电子邮件、即时通讯、文件传输、服务器操作等信息关键字的实时检测和过滤。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针对事件关联分析，可以提供多种入口，比如基于应用、目的IP、源IP、用户、攻击事件等。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产品内置不低于8000种漏洞规则。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支持SNMPV1/V2/V3/Trap等标准网络管理协议。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支持管理员三权分立功能，根据管理员权限分为安全管理员、安全审计员、系统管理员三种角色。</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 支持多次登陆失败后锁定IP或锁定用户功能。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 支持通过本地帐号/Radius进行用户身份识别。</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*17.标准机架式设备，双电源，内存≧8G，接口≧4千兆电口+2万兆光口SFP+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*18.网络层吞吐量≧20G，应用层吞吐量≧9G，防病毒吞吐量≧1.5G，IPS吞吐量≧1G，全威胁吞吐量≧1G，并发连接数≧200万</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515" w:hRule="atLeast"/>
        </w:trPr>
        <w:tc>
          <w:tcPr>
            <w:tcW w:w="70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cs="宋体"/>
                <w:i w:val="0"/>
                <w:iCs w:val="0"/>
                <w:color w:val="000000"/>
                <w:sz w:val="24"/>
                <w:szCs w:val="24"/>
                <w:u w:val="none"/>
              </w:rPr>
            </w:pP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2.2入侵防御产品功能及要求</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 支持路由模式、旁路部署、单臂部署等多种方式；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系统须支持802.1Q VLAN Trunk、access接口类型，VLAN三层接口和子接口；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系统特征库数量7000条以上。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系统须提供规则升级更新内容。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系统应内置海量URL分类库。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系统应能识别主流的应用程序，识别不少于6000个应用。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系统应支持基于应用类型，网站类型，文件类型进行带宽分配和流量控制，支持基于时间、地域、认证用户等因素实现对象的流量控制。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支持策略导入导出功能。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支持安全策略一体化配置，通过一条策略快速实现不同安全功能的配置，简化策略配置工作；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支持本地密码认证，LDAP、Radius等服务器外部密码认证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•11.系统应支持基于应用类型，网站类型，文件类型进行带宽分配和流量控制，支持基于时间、地域、认证用户等因素实现对象的流量控制。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支持根据起始时间、结束时间、源IP、目的IP等多种条件快速进行安全日志查询，支持按照不同风险级别查询不同日志；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报表输出格式需支持多种格式。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系统应提供多种升级方式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*15.标准机架式设备，双电源，内存≧4G，接口≧4千兆电口+2万兆光口SFP+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*16.网络层吞吐量≧5Gbps，IPS吞吐量≧500Mbps，并发连接数≧150万，新建连接数≧5万</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15" w:hRule="atLeast"/>
        </w:trPr>
        <w:tc>
          <w:tcPr>
            <w:tcW w:w="70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cs="宋体"/>
                <w:i w:val="0"/>
                <w:iCs w:val="0"/>
                <w:color w:val="000000"/>
                <w:sz w:val="24"/>
                <w:szCs w:val="24"/>
                <w:u w:val="none"/>
              </w:rPr>
            </w:pP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2.3入侵检测产品功能及要求</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 支持路由模式、旁路部署、单臂部署等多种方式；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支持链路聚合功能，可将多条物理链路聚合成一条带宽更高的逻辑链路使用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系统攻击特征库数量7000条以上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支持连接会话展示，可针对IP地址进行会话详情查询，支持封锁异常会话信息，并支持设置监听具体IP的会话记录；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系统应能识别主流的应用程序，识别不少于3000个应用。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支持Land、Smurf、WinNuke、Tear Drop、IP数据块分片传输、超大ICMP数据攻击等攻击基于数据包攻击防护；支持IP协议异常报文检测和TCP协议异常报文检测。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支持根据起始时间、结束时间、源IP等多种条件快速进行安全日志查询，支持按照不同风险级别查询不同日志；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报表输出格式需支持多种格式。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支持内置规则库的手动与自动更新。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系统同时能提供CPU利用率、内存利用率、会话状态、流量状态、风扇状态、板卡状态等监控信息展示。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*11.标准机架式设备，内存≥8G，接口≧4千兆电口+2万兆光口SFP+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*12.网络层吞吐量≧20Gbps，并发连接数≧200万，每秒新建连接数≧15万；</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15" w:hRule="atLeast"/>
        </w:trPr>
        <w:tc>
          <w:tcPr>
            <w:tcW w:w="700" w:type="dxa"/>
            <w:tcBorders>
              <w:top w:val="single" w:color="auto" w:sz="4" w:space="0"/>
              <w:left w:val="single" w:color="auto" w:sz="4" w:space="0"/>
              <w:bottom w:val="single" w:color="auto" w:sz="4" w:space="0"/>
              <w:right w:val="single" w:color="auto" w:sz="4" w:space="0"/>
            </w:tcBorders>
            <w:vAlign w:val="top"/>
          </w:tcPr>
          <w:p>
            <w:pPr>
              <w:jc w:val="center"/>
              <w:rPr>
                <w:rFonts w:hint="eastAsia" w:ascii="宋体" w:hAnsi="宋体" w:eastAsia="宋体" w:cs="宋体"/>
                <w:i w:val="0"/>
                <w:iCs w:val="0"/>
                <w:color w:val="000000"/>
                <w:sz w:val="24"/>
                <w:szCs w:val="24"/>
                <w:u w:val="none"/>
              </w:rPr>
            </w:pP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2.4日志分析</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 支持通过Agent采集日志数据，支持通过syslog、SNMP Trap、JDBC、WMI、FTP、等多种方式完成日志收集；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日志进行归一化操作后，对日志等级进行映射，根据不同日志源统计不同等级下的日志数量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支持日志文件备份到外置存储节点，支持以FTP方式将日志数据备份至外部存储空间；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支持将检索查询的条件收藏为查询模版，支持查询模版创建、导入导出、删除功能，支持历史搜索记录功能。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支持自定义审计规则。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支持设置日志存储策略，包括设置日志存储周期（天）、存储空间容量使用阈值等。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系统应内置丰富的事件规则，应支持自定义事件规则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包括数据分布、安全事件趋势图、关联规则告警趋势图、接入设备概况等，可提供设备专项分析场景。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提供管理员账号创建、修改、删除，并可针对创建的管理员进行权限设置；支持只允许某些IP登录平台；支持页面权限配置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支持可视化展示，包括数据分布、安全事件趋势图、关联规则告警趋势图、接入设备概况等，可提供设备专项分析场景。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*11.标准机架式设备，内存≧16G，硬盘容量≧4T，接口≧4千兆电口+2万兆光口SFP+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*12.主机审计许可证书数量≧50，平均每秒处理日志数（eps）最大性能≧2000</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15"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附加验收条件</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通过系统全流程运行测试，运行检测时间≥1个月。</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515" w:hRule="atLeast"/>
        </w:trPr>
        <w:tc>
          <w:tcPr>
            <w:tcW w:w="940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r>
              <w:rPr>
                <w:rFonts w:hint="eastAsia" w:ascii="宋体" w:hAnsi="宋体" w:cs="宋体"/>
                <w:b/>
                <w:bCs/>
                <w:i w:val="0"/>
                <w:color w:val="000000"/>
                <w:sz w:val="22"/>
                <w:szCs w:val="22"/>
                <w:u w:val="none"/>
                <w:lang w:val="en-US" w:eastAsia="zh-CN"/>
              </w:rPr>
              <w:t>*</w:t>
            </w:r>
            <w:r>
              <w:rPr>
                <w:rFonts w:hint="eastAsia" w:ascii="宋体" w:hAnsi="宋体" w:eastAsia="宋体" w:cs="宋体"/>
                <w:b/>
                <w:bCs/>
                <w:i w:val="0"/>
                <w:color w:val="000000"/>
                <w:sz w:val="22"/>
                <w:szCs w:val="22"/>
                <w:u w:val="none"/>
                <w:lang w:val="en-US" w:eastAsia="zh-CN"/>
              </w:rPr>
              <w:t>商务要求(均为实质性响应条款，不接受负偏离）</w:t>
            </w:r>
          </w:p>
        </w:tc>
      </w:tr>
      <w:tr>
        <w:tblPrEx>
          <w:tblLayout w:type="fixed"/>
          <w:tblCellMar>
            <w:top w:w="0" w:type="dxa"/>
            <w:left w:w="108" w:type="dxa"/>
            <w:bottom w:w="0" w:type="dxa"/>
            <w:right w:w="108" w:type="dxa"/>
          </w:tblCellMar>
        </w:tblPrEx>
        <w:trPr>
          <w:trHeight w:val="716"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交货时间</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合同签订后1个月内安装调试完毕,具备运行条件</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　</w:t>
            </w:r>
          </w:p>
        </w:tc>
      </w:tr>
      <w:tr>
        <w:tblPrEx>
          <w:tblLayout w:type="fixed"/>
          <w:tblCellMar>
            <w:top w:w="0" w:type="dxa"/>
            <w:left w:w="108" w:type="dxa"/>
            <w:bottom w:w="0" w:type="dxa"/>
            <w:right w:w="108" w:type="dxa"/>
          </w:tblCellMar>
        </w:tblPrEx>
        <w:trPr>
          <w:trHeight w:val="716"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交货地点</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北京市海淀区</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3</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付款条件</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签订合同物资到货验收合格后付95%，验收合格满一年后付5%</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716" w:hRule="atLeast"/>
        </w:trPr>
        <w:tc>
          <w:tcPr>
            <w:tcW w:w="7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4</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售后服务</w:t>
            </w:r>
          </w:p>
        </w:tc>
        <w:tc>
          <w:tcPr>
            <w:tcW w:w="64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1.软硬件设备待项目验收后免费维保及软件升级≥3年；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服务期内出现紧急故障情况，公司应在收到服务请求后30分钟内响应，4个小时内到现场，12个小时内解决问题，12小时内无法解决的硬件问题应及时提供相应的备用设备，提供7×24小时热线电话支持服务，负责提供技术问题的解答和技术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3.无专用维修工具，可提供维护使用手册；</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4.原</w:t>
            </w:r>
            <w:r>
              <w:rPr>
                <w:rFonts w:hint="eastAsia" w:ascii="宋体" w:hAnsi="宋体" w:cs="宋体"/>
                <w:i w:val="0"/>
                <w:iCs w:val="0"/>
                <w:color w:val="000000"/>
                <w:kern w:val="0"/>
                <w:sz w:val="24"/>
                <w:szCs w:val="24"/>
                <w:highlight w:val="none"/>
                <w:u w:val="none"/>
                <w:lang w:val="en-US" w:eastAsia="zh-CN" w:bidi="ar"/>
              </w:rPr>
              <w:t>厂</w:t>
            </w:r>
            <w:r>
              <w:rPr>
                <w:rFonts w:hint="eastAsia" w:ascii="宋体" w:hAnsi="宋体" w:eastAsia="宋体" w:cs="宋体"/>
                <w:i w:val="0"/>
                <w:iCs w:val="0"/>
                <w:color w:val="000000"/>
                <w:kern w:val="0"/>
                <w:sz w:val="24"/>
                <w:szCs w:val="24"/>
                <w:highlight w:val="none"/>
                <w:u w:val="none"/>
                <w:lang w:val="en-US" w:eastAsia="zh-CN" w:bidi="ar"/>
              </w:rPr>
              <w:t>提</w:t>
            </w:r>
            <w:r>
              <w:rPr>
                <w:rFonts w:hint="eastAsia" w:ascii="宋体" w:hAnsi="宋体" w:eastAsia="宋体" w:cs="宋体"/>
                <w:i w:val="0"/>
                <w:iCs w:val="0"/>
                <w:color w:val="000000"/>
                <w:kern w:val="0"/>
                <w:sz w:val="24"/>
                <w:szCs w:val="24"/>
                <w:u w:val="none"/>
                <w:lang w:val="en-US" w:eastAsia="zh-CN" w:bidi="ar"/>
              </w:rPr>
              <w:t>供不少于3日的设备使用培训；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5.提供原厂售后服务承诺函及授权；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6.每年不少于4次的巡检服务并提供巡检报告，提供维修及配件服务，提供软件免费升级和维护。</w:t>
            </w:r>
          </w:p>
        </w:tc>
        <w:tc>
          <w:tcPr>
            <w:tcW w:w="9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kern w:val="0"/>
                <w:sz w:val="22"/>
                <w:szCs w:val="22"/>
              </w:rPr>
            </w:pPr>
          </w:p>
        </w:tc>
      </w:tr>
      <w:tr>
        <w:tblPrEx>
          <w:tblLayout w:type="fixed"/>
          <w:tblCellMar>
            <w:top w:w="0" w:type="dxa"/>
            <w:left w:w="108" w:type="dxa"/>
            <w:bottom w:w="0" w:type="dxa"/>
            <w:right w:w="108" w:type="dxa"/>
          </w:tblCellMar>
        </w:tblPrEx>
        <w:trPr>
          <w:trHeight w:val="1422" w:hRule="atLeast"/>
        </w:trPr>
        <w:tc>
          <w:tcPr>
            <w:tcW w:w="9400" w:type="dxa"/>
            <w:gridSpan w:val="4"/>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备注：1.商务条款及</w:t>
            </w:r>
            <w:r>
              <w:rPr>
                <w:rFonts w:hint="eastAsia" w:cs="Times New Roman"/>
                <w:b/>
                <w:bCs/>
                <w:lang w:val="en-US" w:eastAsia="zh-CN"/>
              </w:rPr>
              <w:t>基本要求</w:t>
            </w:r>
            <w:r>
              <w:rPr>
                <w:rFonts w:hint="eastAsia" w:ascii="Times New Roman" w:hAnsi="Times New Roman" w:eastAsia="宋体" w:cs="Times New Roman"/>
                <w:b/>
                <w:bCs/>
                <w:lang w:val="en-US" w:eastAsia="zh-CN"/>
              </w:rPr>
              <w:t>不接受负偏离。</w:t>
            </w:r>
          </w:p>
          <w:p>
            <w:pPr>
              <w:numPr>
                <w:ilvl w:val="0"/>
                <w:numId w:val="0"/>
              </w:numPr>
              <w:jc w:val="left"/>
              <w:rPr>
                <w:rFonts w:hint="eastAsia" w:ascii="Times New Roman" w:hAnsi="Times New Roman" w:eastAsia="宋体" w:cs="Times New Roman"/>
                <w:b/>
                <w:bCs/>
                <w:lang w:val="zh-CN" w:eastAsia="zh-CN"/>
              </w:rPr>
            </w:pPr>
            <w:r>
              <w:rPr>
                <w:rFonts w:hint="eastAsia" w:ascii="Times New Roman" w:hAnsi="Times New Roman" w:eastAsia="宋体" w:cs="Times New Roman"/>
                <w:b/>
                <w:bCs/>
                <w:lang w:val="en-US" w:eastAsia="zh-CN"/>
              </w:rPr>
              <w:t>2.加注“*”、“.”号的技术指标均需提供</w:t>
            </w:r>
            <w:r>
              <w:rPr>
                <w:rFonts w:hint="eastAsia" w:ascii="Times New Roman" w:hAnsi="Times New Roman" w:eastAsia="宋体" w:cs="Times New Roman"/>
                <w:b/>
                <w:bCs/>
                <w:lang w:val="zh-CN" w:eastAsia="zh-CN"/>
              </w:rPr>
              <w:t>证明材料。</w:t>
            </w:r>
          </w:p>
          <w:p>
            <w:pPr>
              <w:widowControl/>
              <w:jc w:val="left"/>
              <w:rPr>
                <w:rFonts w:hint="eastAsia" w:ascii="仿宋_GB2312" w:hAnsi="宋体" w:eastAsia="仿宋_GB2312" w:cs="宋体"/>
                <w:kern w:val="0"/>
                <w:sz w:val="22"/>
                <w:szCs w:val="22"/>
              </w:rPr>
            </w:pPr>
            <w:r>
              <w:rPr>
                <w:rFonts w:hint="eastAsia" w:ascii="Times New Roman" w:hAnsi="Times New Roman" w:eastAsia="宋体" w:cs="Times New Roman"/>
                <w:b/>
                <w:bCs/>
                <w:lang w:val="en-US" w:eastAsia="zh-CN"/>
              </w:rPr>
              <w:t>3.</w:t>
            </w:r>
            <w:r>
              <w:rPr>
                <w:rFonts w:hint="eastAsia" w:ascii="Times New Roman" w:hAnsi="Times New Roman" w:eastAsia="宋体" w:cs="Times New Roman"/>
                <w:b/>
                <w:bCs/>
                <w:lang w:val="zh-CN" w:eastAsia="zh-CN"/>
              </w:rPr>
              <w:t>供应商须提供相关技术指标证明材料予以佐证（证明材料不限于</w:t>
            </w:r>
            <w:r>
              <w:rPr>
                <w:rFonts w:hint="eastAsia" w:cs="Times New Roman"/>
                <w:b/>
                <w:bCs/>
                <w:lang w:val="zh-CN" w:eastAsia="zh-CN"/>
              </w:rPr>
              <w:t>资质证书、业绩案例、响应承诺，以及</w:t>
            </w:r>
            <w:r>
              <w:rPr>
                <w:rFonts w:hint="eastAsia" w:ascii="Times New Roman" w:hAnsi="Times New Roman" w:eastAsia="宋体" w:cs="Times New Roman"/>
                <w:b/>
                <w:bCs/>
                <w:lang w:val="zh-CN" w:eastAsia="zh-CN"/>
              </w:rPr>
              <w:t>产品规格表、制造商官方网站发布的产品信息、说明书等或检测机构出具的检测报告等技术资料支持的、产品彩页、技术白皮书、厂家出具的技术证明文件、实物照片、软件功能截图等）。</w:t>
            </w:r>
          </w:p>
        </w:tc>
      </w:tr>
      <w:bookmarkEnd w:id="15"/>
    </w:tbl>
    <w:p>
      <w:pPr>
        <w:tabs>
          <w:tab w:val="left" w:pos="0"/>
        </w:tabs>
        <w:spacing w:line="560" w:lineRule="atLeast"/>
        <w:rPr>
          <w:rFonts w:ascii="宋体" w:hAnsi="宋体"/>
          <w:szCs w:val="21"/>
          <w:highlight w:val="none"/>
        </w:rPr>
      </w:pPr>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wordWrap w:val="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7"/>
                            <w:wordWrap w:val="0"/>
                            <w:jc w:val="right"/>
                          </w:pPr>
                          <w:r>
                            <w:rPr>
                              <w:rFonts w:hint="eastAsia"/>
                            </w:rPr>
                            <w:t>—</w:t>
                          </w:r>
                          <w:r>
                            <w:rPr>
                              <w:rFonts w:hint="eastAsia"/>
                              <w:sz w:val="21"/>
                              <w:szCs w:val="21"/>
                            </w:rPr>
                            <w:t xml:space="preserve"> </w:t>
                          </w:r>
                          <w:r>
                            <w:rPr>
                              <w:sz w:val="21"/>
                              <w:szCs w:val="21"/>
                            </w:rPr>
                            <w:fldChar w:fldCharType="begin"/>
                          </w:r>
                          <w:r>
                            <w:rPr>
                              <w:rStyle w:val="46"/>
                              <w:sz w:val="21"/>
                              <w:szCs w:val="21"/>
                            </w:rPr>
                            <w:instrText xml:space="preserve"> PAGE </w:instrText>
                          </w:r>
                          <w:r>
                            <w:rPr>
                              <w:sz w:val="21"/>
                              <w:szCs w:val="21"/>
                            </w:rPr>
                            <w:fldChar w:fldCharType="separate"/>
                          </w:r>
                          <w:r>
                            <w:rPr>
                              <w:rStyle w:val="46"/>
                              <w:sz w:val="21"/>
                              <w:szCs w:val="21"/>
                            </w:rPr>
                            <w:t>2</w:t>
                          </w:r>
                          <w:r>
                            <w:rPr>
                              <w:sz w:val="21"/>
                              <w:szCs w:val="21"/>
                            </w:rPr>
                            <w:fldChar w:fldCharType="end"/>
                          </w:r>
                          <w:r>
                            <w:rPr>
                              <w:rFonts w:hint="eastAsia"/>
                              <w:sz w:val="21"/>
                              <w:szCs w:val="21"/>
                            </w:rPr>
                            <w:t xml:space="preserve"> </w:t>
                          </w:r>
                          <w:r>
                            <w:rPr>
                              <w:rFonts w:hint="eastAsia"/>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r&#10;lwAStwEAAFQDAAAOAAAAAAAAAAEAIAAAAB4BAABkcnMvZTJvRG9jLnhtbFBLBQYAAAAABgAGAFkB&#10;AABHBQAAAAA=&#10;">
              <v:fill on="f" focussize="0,0"/>
              <v:stroke on="f"/>
              <v:imagedata o:title=""/>
              <o:lock v:ext="edit" aspectratio="f"/>
              <v:textbox inset="0mm,0mm,0mm,0mm" style="mso-fit-shape-to-text:t;">
                <w:txbxContent>
                  <w:p>
                    <w:pPr>
                      <w:pStyle w:val="27"/>
                      <w:wordWrap w:val="0"/>
                      <w:jc w:val="right"/>
                    </w:pPr>
                    <w:r>
                      <w:rPr>
                        <w:rFonts w:hint="eastAsia"/>
                      </w:rPr>
                      <w:t>—</w:t>
                    </w:r>
                    <w:r>
                      <w:rPr>
                        <w:rFonts w:hint="eastAsia"/>
                        <w:sz w:val="21"/>
                        <w:szCs w:val="21"/>
                      </w:rPr>
                      <w:t xml:space="preserve"> </w:t>
                    </w:r>
                    <w:r>
                      <w:rPr>
                        <w:sz w:val="21"/>
                        <w:szCs w:val="21"/>
                      </w:rPr>
                      <w:fldChar w:fldCharType="begin"/>
                    </w:r>
                    <w:r>
                      <w:rPr>
                        <w:rStyle w:val="46"/>
                        <w:sz w:val="21"/>
                        <w:szCs w:val="21"/>
                      </w:rPr>
                      <w:instrText xml:space="preserve"> PAGE </w:instrText>
                    </w:r>
                    <w:r>
                      <w:rPr>
                        <w:sz w:val="21"/>
                        <w:szCs w:val="21"/>
                      </w:rPr>
                      <w:fldChar w:fldCharType="separate"/>
                    </w:r>
                    <w:r>
                      <w:rPr>
                        <w:rStyle w:val="46"/>
                        <w:sz w:val="21"/>
                        <w:szCs w:val="21"/>
                      </w:rPr>
                      <w:t>2</w:t>
                    </w:r>
                    <w:r>
                      <w:rPr>
                        <w:sz w:val="21"/>
                        <w:szCs w:val="21"/>
                      </w:rPr>
                      <w:fldChar w:fldCharType="end"/>
                    </w:r>
                    <w:r>
                      <w:rPr>
                        <w:rFonts w:hint="eastAsia"/>
                        <w:sz w:val="21"/>
                        <w:szCs w:val="21"/>
                      </w:rPr>
                      <w:t xml:space="preserve"> </w:t>
                    </w:r>
                    <w:r>
                      <w:rPr>
                        <w:rFonts w:hint="eastAsia"/>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center"/>
      <w:rPr>
        <w:rFonts w:hint="eastAsia" w:ascii="楷体_GB2312" w:eastAsia="楷体_GB2312"/>
        <w:sz w:val="21"/>
        <w:szCs w:val="21"/>
        <w:lang w:val="en-US" w:eastAsia="zh-CN"/>
      </w:rPr>
    </w:pPr>
    <w:r>
      <w:rPr>
        <w:rFonts w:hint="eastAsia" w:ascii="楷体_GB2312" w:eastAsia="楷体_GB2312"/>
        <w:sz w:val="21"/>
        <w:szCs w:val="21"/>
        <w:lang w:eastAsia="zh-CN"/>
      </w:rPr>
      <w:t>第八章</w:t>
    </w:r>
    <w:r>
      <w:rPr>
        <w:rFonts w:hint="eastAsia" w:ascii="楷体_GB2312" w:eastAsia="楷体_GB2312"/>
        <w:sz w:val="21"/>
        <w:szCs w:val="21"/>
        <w:lang w:val="en-US" w:eastAsia="zh-CN"/>
      </w:rPr>
      <w:t xml:space="preserve">  文件组成及专用附件格式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E83"/>
    <w:rsid w:val="00D506A7"/>
    <w:rsid w:val="00D50DA5"/>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C963F3"/>
    <w:rsid w:val="02A44ADD"/>
    <w:rsid w:val="02FC3150"/>
    <w:rsid w:val="03520734"/>
    <w:rsid w:val="04461F7D"/>
    <w:rsid w:val="062067FE"/>
    <w:rsid w:val="06CE7ECC"/>
    <w:rsid w:val="09664528"/>
    <w:rsid w:val="0A0D4F1E"/>
    <w:rsid w:val="0A2148F3"/>
    <w:rsid w:val="0B3F7726"/>
    <w:rsid w:val="0BEB6F2D"/>
    <w:rsid w:val="0BFA364D"/>
    <w:rsid w:val="0CCD4738"/>
    <w:rsid w:val="0D6F054E"/>
    <w:rsid w:val="0D725B91"/>
    <w:rsid w:val="0E144B5A"/>
    <w:rsid w:val="0E833F41"/>
    <w:rsid w:val="0F6E6263"/>
    <w:rsid w:val="10005604"/>
    <w:rsid w:val="111451B1"/>
    <w:rsid w:val="11C0538C"/>
    <w:rsid w:val="11C17EA7"/>
    <w:rsid w:val="12E8676D"/>
    <w:rsid w:val="12F5410C"/>
    <w:rsid w:val="136441CE"/>
    <w:rsid w:val="139B1477"/>
    <w:rsid w:val="14332AA2"/>
    <w:rsid w:val="157955E3"/>
    <w:rsid w:val="15D849FF"/>
    <w:rsid w:val="16E93A50"/>
    <w:rsid w:val="184B0E55"/>
    <w:rsid w:val="18730A0F"/>
    <w:rsid w:val="18AB63FB"/>
    <w:rsid w:val="192C29E2"/>
    <w:rsid w:val="19734677"/>
    <w:rsid w:val="199724DC"/>
    <w:rsid w:val="1AB561B1"/>
    <w:rsid w:val="1B1D15CE"/>
    <w:rsid w:val="1C0E2F29"/>
    <w:rsid w:val="1CA73304"/>
    <w:rsid w:val="1CE43C8A"/>
    <w:rsid w:val="1DD3548B"/>
    <w:rsid w:val="1DED21D8"/>
    <w:rsid w:val="1E7B1432"/>
    <w:rsid w:val="1EBF49AE"/>
    <w:rsid w:val="1F0E3DA5"/>
    <w:rsid w:val="1FB931AC"/>
    <w:rsid w:val="204136C0"/>
    <w:rsid w:val="208D2D81"/>
    <w:rsid w:val="20C55B80"/>
    <w:rsid w:val="20CE49AC"/>
    <w:rsid w:val="20D34084"/>
    <w:rsid w:val="21471BB1"/>
    <w:rsid w:val="21EA3909"/>
    <w:rsid w:val="22143D06"/>
    <w:rsid w:val="22F75C0D"/>
    <w:rsid w:val="248F4E23"/>
    <w:rsid w:val="249B4BA3"/>
    <w:rsid w:val="25114177"/>
    <w:rsid w:val="255D5E59"/>
    <w:rsid w:val="2601765A"/>
    <w:rsid w:val="267F67D1"/>
    <w:rsid w:val="277E3593"/>
    <w:rsid w:val="281178FD"/>
    <w:rsid w:val="28332D0A"/>
    <w:rsid w:val="289522DC"/>
    <w:rsid w:val="290F7096"/>
    <w:rsid w:val="2C3D0F42"/>
    <w:rsid w:val="2C7F7652"/>
    <w:rsid w:val="2D177764"/>
    <w:rsid w:val="2D2F28DA"/>
    <w:rsid w:val="2D6F7B24"/>
    <w:rsid w:val="2E8B42EF"/>
    <w:rsid w:val="2F7013AD"/>
    <w:rsid w:val="2FFB511A"/>
    <w:rsid w:val="301D46EF"/>
    <w:rsid w:val="30532B78"/>
    <w:rsid w:val="32AF5D7F"/>
    <w:rsid w:val="346911EC"/>
    <w:rsid w:val="35541A83"/>
    <w:rsid w:val="35C91DF7"/>
    <w:rsid w:val="361F1F7B"/>
    <w:rsid w:val="367A4403"/>
    <w:rsid w:val="372907BF"/>
    <w:rsid w:val="37BE3BEB"/>
    <w:rsid w:val="38194CD8"/>
    <w:rsid w:val="38C26B8B"/>
    <w:rsid w:val="39E9692C"/>
    <w:rsid w:val="3A2F2590"/>
    <w:rsid w:val="3BC60064"/>
    <w:rsid w:val="3BFE2290"/>
    <w:rsid w:val="3C2679C3"/>
    <w:rsid w:val="3D7318A6"/>
    <w:rsid w:val="3DB03FCF"/>
    <w:rsid w:val="3E130E71"/>
    <w:rsid w:val="3F4B03B7"/>
    <w:rsid w:val="41335680"/>
    <w:rsid w:val="42C817D4"/>
    <w:rsid w:val="43805C0B"/>
    <w:rsid w:val="447A578E"/>
    <w:rsid w:val="44E67CEF"/>
    <w:rsid w:val="45EC1C18"/>
    <w:rsid w:val="46623CEE"/>
    <w:rsid w:val="46B13A3A"/>
    <w:rsid w:val="47D204E7"/>
    <w:rsid w:val="48437F50"/>
    <w:rsid w:val="49137521"/>
    <w:rsid w:val="498D67EF"/>
    <w:rsid w:val="49A90785"/>
    <w:rsid w:val="4A7364C9"/>
    <w:rsid w:val="4B3C2D5F"/>
    <w:rsid w:val="4B6F0F36"/>
    <w:rsid w:val="4C104E92"/>
    <w:rsid w:val="4DA22CF1"/>
    <w:rsid w:val="4E21448E"/>
    <w:rsid w:val="4ED02ABC"/>
    <w:rsid w:val="4F786330"/>
    <w:rsid w:val="4F952A3E"/>
    <w:rsid w:val="5004130D"/>
    <w:rsid w:val="50D81F9E"/>
    <w:rsid w:val="515B7CB7"/>
    <w:rsid w:val="518A6447"/>
    <w:rsid w:val="52FB4980"/>
    <w:rsid w:val="53B316E5"/>
    <w:rsid w:val="55120D38"/>
    <w:rsid w:val="55EA5431"/>
    <w:rsid w:val="571921A6"/>
    <w:rsid w:val="583B6311"/>
    <w:rsid w:val="585711D8"/>
    <w:rsid w:val="58DB7441"/>
    <w:rsid w:val="5A4E03B9"/>
    <w:rsid w:val="5B9A423C"/>
    <w:rsid w:val="5DA64281"/>
    <w:rsid w:val="5DC402E7"/>
    <w:rsid w:val="5ED209B4"/>
    <w:rsid w:val="5F49114F"/>
    <w:rsid w:val="60BD055D"/>
    <w:rsid w:val="61285F53"/>
    <w:rsid w:val="61A66D2D"/>
    <w:rsid w:val="621B4377"/>
    <w:rsid w:val="6235591B"/>
    <w:rsid w:val="62532AF1"/>
    <w:rsid w:val="631B2E02"/>
    <w:rsid w:val="646031C3"/>
    <w:rsid w:val="6562503C"/>
    <w:rsid w:val="665C0F7C"/>
    <w:rsid w:val="670A28B4"/>
    <w:rsid w:val="672F1572"/>
    <w:rsid w:val="6739419F"/>
    <w:rsid w:val="67CA033E"/>
    <w:rsid w:val="67E54135"/>
    <w:rsid w:val="680C1784"/>
    <w:rsid w:val="687716F6"/>
    <w:rsid w:val="6AA656A7"/>
    <w:rsid w:val="6AC975E8"/>
    <w:rsid w:val="6B232928"/>
    <w:rsid w:val="6C040369"/>
    <w:rsid w:val="6D346FC3"/>
    <w:rsid w:val="6E146BD3"/>
    <w:rsid w:val="6E9323E7"/>
    <w:rsid w:val="706933FF"/>
    <w:rsid w:val="71431EA2"/>
    <w:rsid w:val="71F9675B"/>
    <w:rsid w:val="730218E9"/>
    <w:rsid w:val="73072696"/>
    <w:rsid w:val="73BC0AEF"/>
    <w:rsid w:val="746259E3"/>
    <w:rsid w:val="74DB6895"/>
    <w:rsid w:val="74E12E70"/>
    <w:rsid w:val="753C22F5"/>
    <w:rsid w:val="758F3DCE"/>
    <w:rsid w:val="76742AFE"/>
    <w:rsid w:val="78034139"/>
    <w:rsid w:val="78C642A1"/>
    <w:rsid w:val="79172916"/>
    <w:rsid w:val="79EB6A00"/>
    <w:rsid w:val="7A63452D"/>
    <w:rsid w:val="7A8C5157"/>
    <w:rsid w:val="7AB64042"/>
    <w:rsid w:val="7BEF3783"/>
    <w:rsid w:val="7BEF74D5"/>
    <w:rsid w:val="7C1903CF"/>
    <w:rsid w:val="7C5424EB"/>
    <w:rsid w:val="7DF156C2"/>
    <w:rsid w:val="7E664013"/>
    <w:rsid w:val="7FCE6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pPr>
    <w:rPr>
      <w:rFonts w:eastAsia="黑体" w:asciiTheme="minorEastAsia" w:hAnsiTheme="minorEastAsia"/>
      <w:b/>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字符1"/>
    <w:basedOn w:val="44"/>
    <w:link w:val="3"/>
    <w:qFormat/>
    <w:uiPriority w:val="0"/>
    <w:rPr>
      <w:bCs/>
      <w:kern w:val="2"/>
      <w:sz w:val="44"/>
    </w:rPr>
  </w:style>
  <w:style w:type="character" w:customStyle="1" w:styleId="51">
    <w:name w:val="标题 2 字符1"/>
    <w:basedOn w:val="44"/>
    <w:link w:val="4"/>
    <w:qFormat/>
    <w:uiPriority w:val="0"/>
    <w:rPr>
      <w:rFonts w:ascii="Arial" w:hAnsi="Arial" w:eastAsia="方正小标宋简体"/>
      <w:b/>
      <w:bCs/>
      <w:kern w:val="2"/>
      <w:sz w:val="44"/>
      <w:szCs w:val="32"/>
    </w:rPr>
  </w:style>
  <w:style w:type="character" w:customStyle="1" w:styleId="52">
    <w:name w:val="标题 3 字符"/>
    <w:basedOn w:val="44"/>
    <w:link w:val="5"/>
    <w:qFormat/>
    <w:uiPriority w:val="0"/>
    <w:rPr>
      <w:rFonts w:eastAsia="黑体"/>
      <w:b/>
      <w:bCs/>
      <w:kern w:val="2"/>
      <w:sz w:val="32"/>
      <w:szCs w:val="32"/>
    </w:rPr>
  </w:style>
  <w:style w:type="character" w:customStyle="1" w:styleId="53">
    <w:name w:val="标题 4 字符1"/>
    <w:basedOn w:val="44"/>
    <w:link w:val="6"/>
    <w:qFormat/>
    <w:uiPriority w:val="0"/>
    <w:rPr>
      <w:rFonts w:ascii="Arial" w:hAnsi="Arial" w:eastAsia="黑体"/>
      <w:b/>
      <w:bCs/>
      <w:kern w:val="2"/>
      <w:sz w:val="28"/>
      <w:szCs w:val="28"/>
    </w:rPr>
  </w:style>
  <w:style w:type="character" w:customStyle="1" w:styleId="54">
    <w:name w:val="标题 5 字符"/>
    <w:basedOn w:val="44"/>
    <w:link w:val="7"/>
    <w:qFormat/>
    <w:uiPriority w:val="0"/>
    <w:rPr>
      <w:rFonts w:ascii="Times New Roman" w:hAnsi="Times New Roman" w:eastAsia="宋体" w:cs="Times New Roman"/>
      <w:b/>
      <w:bCs/>
      <w:kern w:val="0"/>
      <w:sz w:val="28"/>
      <w:szCs w:val="28"/>
    </w:rPr>
  </w:style>
  <w:style w:type="character" w:customStyle="1" w:styleId="55">
    <w:name w:val="标题 6 字符"/>
    <w:basedOn w:val="44"/>
    <w:link w:val="8"/>
    <w:qFormat/>
    <w:uiPriority w:val="0"/>
    <w:rPr>
      <w:rFonts w:ascii="Arial" w:hAnsi="Arial" w:eastAsia="黑体" w:cs="Times New Roman"/>
      <w:b/>
      <w:bCs/>
      <w:kern w:val="0"/>
      <w:sz w:val="24"/>
      <w:szCs w:val="24"/>
    </w:rPr>
  </w:style>
  <w:style w:type="character" w:customStyle="1" w:styleId="56">
    <w:name w:val="标题 7 字符"/>
    <w:basedOn w:val="44"/>
    <w:link w:val="9"/>
    <w:qFormat/>
    <w:uiPriority w:val="0"/>
    <w:rPr>
      <w:rFonts w:ascii="Times New Roman" w:hAnsi="Times New Roman" w:eastAsia="宋体" w:cs="Times New Roman"/>
      <w:b/>
      <w:bCs/>
      <w:kern w:val="0"/>
      <w:sz w:val="24"/>
      <w:szCs w:val="24"/>
    </w:rPr>
  </w:style>
  <w:style w:type="character" w:customStyle="1" w:styleId="57">
    <w:name w:val="标题 8 字符"/>
    <w:basedOn w:val="44"/>
    <w:link w:val="10"/>
    <w:qFormat/>
    <w:uiPriority w:val="0"/>
    <w:rPr>
      <w:rFonts w:ascii="Arial" w:hAnsi="Arial" w:eastAsia="黑体" w:cs="Times New Roman"/>
      <w:kern w:val="0"/>
      <w:sz w:val="24"/>
      <w:szCs w:val="24"/>
    </w:rPr>
  </w:style>
  <w:style w:type="character" w:customStyle="1" w:styleId="58">
    <w:name w:val="标题 9 字符"/>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字符1"/>
    <w:basedOn w:val="44"/>
    <w:link w:val="17"/>
    <w:qFormat/>
    <w:uiPriority w:val="0"/>
    <w:rPr>
      <w:rFonts w:ascii="Times New Roman" w:hAnsi="Times New Roman" w:eastAsia="宋体" w:cs="Times New Roman"/>
      <w:szCs w:val="24"/>
    </w:rPr>
  </w:style>
  <w:style w:type="character" w:customStyle="1" w:styleId="61">
    <w:name w:val="页脚 字符1"/>
    <w:basedOn w:val="44"/>
    <w:link w:val="27"/>
    <w:qFormat/>
    <w:uiPriority w:val="99"/>
    <w:rPr>
      <w:rFonts w:ascii="Times New Roman" w:hAnsi="Times New Roman" w:eastAsia="宋体" w:cs="Times New Roman"/>
      <w:sz w:val="18"/>
      <w:szCs w:val="18"/>
    </w:rPr>
  </w:style>
  <w:style w:type="character" w:customStyle="1" w:styleId="62">
    <w:name w:val="页眉 字符1"/>
    <w:basedOn w:val="44"/>
    <w:link w:val="28"/>
    <w:qFormat/>
    <w:uiPriority w:val="99"/>
    <w:rPr>
      <w:rFonts w:ascii="Times New Roman" w:hAnsi="Times New Roman" w:eastAsia="宋体" w:cs="Times New Roman"/>
      <w:sz w:val="18"/>
      <w:szCs w:val="18"/>
    </w:rPr>
  </w:style>
  <w:style w:type="character" w:customStyle="1" w:styleId="63">
    <w:name w:val="正文文本缩进 字符1"/>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4"/>
    <w:link w:val="22"/>
    <w:qFormat/>
    <w:uiPriority w:val="0"/>
    <w:rPr>
      <w:rFonts w:ascii="宋体" w:hAnsi="Courier New" w:eastAsia="宋体" w:cs="Courier New"/>
      <w:szCs w:val="21"/>
    </w:rPr>
  </w:style>
  <w:style w:type="character" w:customStyle="1" w:styleId="66">
    <w:name w:val="批注文字 字符1"/>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4"/>
    <w:link w:val="37"/>
    <w:qFormat/>
    <w:uiPriority w:val="0"/>
    <w:rPr>
      <w:rFonts w:ascii="Arial" w:hAnsi="Arial" w:eastAsia="宋体" w:cs="Arial"/>
      <w:kern w:val="0"/>
      <w:sz w:val="24"/>
      <w:szCs w:val="24"/>
    </w:rPr>
  </w:style>
  <w:style w:type="character" w:customStyle="1" w:styleId="71">
    <w:name w:val="称呼 字符"/>
    <w:basedOn w:val="44"/>
    <w:link w:val="16"/>
    <w:qFormat/>
    <w:uiPriority w:val="0"/>
    <w:rPr>
      <w:rFonts w:ascii="仿宋_GB2312" w:hAnsi="Times New Roman" w:eastAsia="仿宋_GB2312" w:cs="Times New Roman"/>
      <w:sz w:val="24"/>
      <w:szCs w:val="24"/>
    </w:rPr>
  </w:style>
  <w:style w:type="character" w:customStyle="1" w:styleId="72">
    <w:name w:val="正文文本 2 字符1"/>
    <w:basedOn w:val="44"/>
    <w:link w:val="36"/>
    <w:qFormat/>
    <w:uiPriority w:val="0"/>
    <w:rPr>
      <w:rFonts w:ascii="Times New Roman" w:hAnsi="Times New Roman" w:eastAsia="宋体" w:cs="Times New Roman"/>
      <w:szCs w:val="24"/>
    </w:rPr>
  </w:style>
  <w:style w:type="character" w:customStyle="1" w:styleId="73">
    <w:name w:val="正文文本缩进 2 字符1"/>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4"/>
    <w:link w:val="33"/>
    <w:qFormat/>
    <w:uiPriority w:val="0"/>
    <w:rPr>
      <w:rFonts w:ascii="Times New Roman" w:hAnsi="Times New Roman" w:eastAsia="宋体" w:cs="Times New Roman"/>
      <w:sz w:val="16"/>
      <w:szCs w:val="16"/>
    </w:rPr>
  </w:style>
  <w:style w:type="character" w:customStyle="1" w:styleId="76">
    <w:name w:val="日期 字符"/>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1"/>
    <w:qFormat/>
    <w:uiPriority w:val="0"/>
    <w:rPr>
      <w:rFonts w:ascii="Times New Roman" w:hAnsi="Times New Roman" w:eastAsia="宋体" w:cs="Times New Roman"/>
      <w:b/>
      <w:bCs/>
      <w:szCs w:val="24"/>
    </w:rPr>
  </w:style>
  <w:style w:type="character" w:customStyle="1" w:styleId="89">
    <w:name w:val="批注框文本 字符1"/>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9"/>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字符"/>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48">
    <w:name w:val="未处理的提及3"/>
    <w:basedOn w:val="44"/>
    <w:semiHidden/>
    <w:unhideWhenUsed/>
    <w:qFormat/>
    <w:uiPriority w:val="99"/>
    <w:rPr>
      <w:color w:val="605E5C"/>
      <w:shd w:val="clear" w:color="auto" w:fill="E1DFDD"/>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0">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2">
    <w:name w:val="cf01"/>
    <w:basedOn w:val="44"/>
    <w:qFormat/>
    <w:uiPriority w:val="0"/>
    <w:rPr>
      <w:rFonts w:hint="eastAsia" w:ascii="Microsoft YaHei UI" w:hAnsi="Microsoft YaHei UI" w:eastAsia="Microsoft YaHei UI"/>
      <w:sz w:val="24"/>
      <w:szCs w:val="24"/>
    </w:rPr>
  </w:style>
  <w:style w:type="character" w:customStyle="1" w:styleId="153">
    <w:name w:val="未处理的提及4"/>
    <w:basedOn w:val="44"/>
    <w:semiHidden/>
    <w:unhideWhenUsed/>
    <w:qFormat/>
    <w:uiPriority w:val="99"/>
    <w:rPr>
      <w:color w:val="605E5C"/>
      <w:shd w:val="clear" w:color="auto" w:fill="E1DFDD"/>
    </w:rPr>
  </w:style>
  <w:style w:type="character" w:customStyle="1" w:styleId="154">
    <w:name w:val="Unresolved Mention"/>
    <w:basedOn w:val="4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9A28A4-1519-472B-80C7-6A3006DFCB4D}">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83</Pages>
  <Words>7458</Words>
  <Characters>42511</Characters>
  <Lines>354</Lines>
  <Paragraphs>99</Paragraphs>
  <TotalTime>17</TotalTime>
  <ScaleCrop>false</ScaleCrop>
  <LinksUpToDate>false</LinksUpToDate>
  <CharactersWithSpaces>49870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Lenovo</cp:lastModifiedBy>
  <cp:lastPrinted>2023-10-08T10:07:00Z</cp:lastPrinted>
  <dcterms:modified xsi:type="dcterms:W3CDTF">2023-10-08T10:08:15Z</dcterms:modified>
  <cp:revision>3308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DA6B605E3C604F32863FCC7EDFC5BCF5</vt:lpwstr>
  </property>
</Properties>
</file>